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/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市级2022年第一批:</w:t>
            </w:r>
          </w:p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XX万元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，保留三位小数）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有关主管部门批准（认定）文件及文号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厦门市科学技术局关于拨付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2022年第一批（提前拨付）企业研发费用补助资金的通知（厦科资配﹝2022﹞23号）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c5ZTkxMDkwMjlhOTRmOGYxN2RkNmE4YzExOGQ1ZTYifQ=="/>
  </w:docVars>
  <w:rsids>
    <w:rsidRoot w:val="00000000"/>
    <w:rsid w:val="143517E7"/>
    <w:rsid w:val="5EFA868D"/>
    <w:rsid w:val="7DF60F36"/>
    <w:rsid w:val="BB5FD192"/>
    <w:rsid w:val="BFFE9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2020-03-02T16:35:00Z</dcterms:created>
  <dc:creator>Administrator</dc:creator>
  <cp:lastModifiedBy>xmadmin</cp:lastModifiedBy>
  <dcterms:modified xsi:type="dcterms:W3CDTF">2023-10-11T19:19:51Z</dcterms:modified>
  <dc:title>海沧区企业研发费用补助申请表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E775E33CD3BD4B70B64599ED55A40D63_12</vt:lpwstr>
  </property>
</Properties>
</file>